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6A" w:rsidRPr="00440CB6" w:rsidRDefault="00440CB6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0CB6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440CB6">
        <w:rPr>
          <w:rFonts w:ascii="Times New Roman" w:hAnsi="Times New Roman" w:cs="Times New Roman"/>
          <w:sz w:val="24"/>
          <w:szCs w:val="24"/>
          <w:lang w:val="uk-UA"/>
        </w:rPr>
        <w:t xml:space="preserve"> переговорна процедура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6"/>
        <w:gridCol w:w="1530"/>
        <w:gridCol w:w="1888"/>
        <w:gridCol w:w="1777"/>
      </w:tblGrid>
      <w:tr w:rsidR="00440CB6" w:rsidRPr="00440CB6" w:rsidTr="00440CB6">
        <w:tc>
          <w:tcPr>
            <w:tcW w:w="4376" w:type="dxa"/>
          </w:tcPr>
          <w:p w:rsidR="00440CB6" w:rsidRPr="00440CB6" w:rsidRDefault="00440CB6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1530" w:type="dxa"/>
          </w:tcPr>
          <w:p w:rsidR="00440CB6" w:rsidRPr="00440CB6" w:rsidRDefault="00440CB6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закупівлі</w:t>
            </w:r>
          </w:p>
        </w:tc>
        <w:tc>
          <w:tcPr>
            <w:tcW w:w="1888" w:type="dxa"/>
          </w:tcPr>
          <w:p w:rsidR="00440CB6" w:rsidRPr="00440CB6" w:rsidRDefault="00440CB6" w:rsidP="00440C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Обґрунтування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ічних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якісних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характеристик предмета закупівлі</w:t>
            </w:r>
          </w:p>
        </w:tc>
        <w:tc>
          <w:tcPr>
            <w:tcW w:w="1777" w:type="dxa"/>
          </w:tcPr>
          <w:p w:rsidR="00440CB6" w:rsidRPr="00440CB6" w:rsidRDefault="00440CB6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Обґрунтування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очікуваної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вартості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, </w:t>
            </w: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розміру</w:t>
            </w:r>
            <w:proofErr w:type="spell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</w:t>
            </w:r>
            <w:proofErr w:type="gram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бюджетного</w:t>
            </w:r>
            <w:proofErr w:type="gramEnd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 xml:space="preserve"> призначення та </w:t>
            </w:r>
            <w:proofErr w:type="spellStart"/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</w:rPr>
              <w:t>обсяг</w:t>
            </w:r>
            <w:proofErr w:type="spellEnd"/>
          </w:p>
        </w:tc>
      </w:tr>
      <w:tr w:rsidR="00440CB6" w:rsidRPr="00440CB6" w:rsidTr="00440CB6">
        <w:tc>
          <w:tcPr>
            <w:tcW w:w="4376" w:type="dxa"/>
          </w:tcPr>
          <w:p w:rsidR="00440CB6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Лікарська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практика та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супутні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послуги (Послуги з проведення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коронароангіографії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та стентування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судин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сердця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у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хворих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на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гострий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коронарний</w:t>
              </w:r>
              <w:proofErr w:type="spellEnd"/>
              <w:r w:rsidR="00440CB6"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синдром)</w:t>
              </w:r>
            </w:hyperlink>
            <w:r w:rsidR="00440CB6" w:rsidRPr="00440C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0CB6"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UA-2021-01-15-007423-a</w:t>
            </w:r>
          </w:p>
        </w:tc>
        <w:tc>
          <w:tcPr>
            <w:tcW w:w="1530" w:type="dxa"/>
          </w:tcPr>
          <w:p w:rsidR="00440CB6" w:rsidRPr="00440CB6" w:rsidRDefault="00440CB6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440CB6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440CB6" w:rsidRPr="00440CB6" w:rsidRDefault="00440CB6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6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Послуги у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сфері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охорони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здоров’я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gram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</w:t>
              </w:r>
              <w:proofErr w:type="gram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ізні (послуги з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обстеження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хворих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шляхом проведення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комп’ютерної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та магнітно –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резонансної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томографії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UA-2021-01-18-001559-a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E37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208250,00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7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Послуги у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сфері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охорони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здоров’я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gram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</w:t>
              </w:r>
              <w:proofErr w:type="gram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ізні (послуги з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обстеження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хворих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шляхом проведення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комп’ютерної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та магнітно –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резонансної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томографії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UA-2021-01-18-000937-b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E37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2036200,00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8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Послуги з організації харчування (послуги щодо забезпечення харчуванням хворих)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-2021-01-22-000956-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a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E37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9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Медичні матеріали (59058 Миючий / очищуючий розчин ІВД, для автоматизованих 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полуавтоматізованних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систем, 30591 Набір реагентів для вимірювання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протромбінового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часу (ПЧ)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30541 Набір реагентів для визначення фібриногену, 30540 Набір реагентів для визначення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тромбінового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часу, 30592 Активований частковий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тромбопластиновий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час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59058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lastRenderedPageBreak/>
                <w:t xml:space="preserve">Миючий / очищуючий розчин ІВД, для автоматизованих 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полуавтоматізіванних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систем) вироби медичного призначення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-2021-02-09-003126-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b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E37D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133000,00</w:t>
            </w:r>
          </w:p>
        </w:tc>
      </w:tr>
      <w:bookmarkStart w:id="0" w:name="_GoBack" w:colFirst="2" w:colLast="2"/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lastRenderedPageBreak/>
              <w:fldChar w:fldCharType="begin"/>
            </w:r>
            <w:r>
              <w:instrText xml:space="preserve"> HYPERLINK "https://www.dzo.com.ua/tenders/9356747" </w:instrText>
            </w:r>
            <w:r>
              <w:fldChar w:fldCharType="separate"/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Основні неорганічні хімічні речовини (52867 Множинні електроліти 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IVD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калібратори, 52867 Множинні електроліти 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IVD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калібратори, 52867 Множинні електроліти 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IVD</w:t>
            </w:r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калібратори, 59058 Миючий / очищуючий розчин ІВД, для автоматизованих / </w:t>
            </w:r>
            <w:proofErr w:type="spellStart"/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полуавтоматізіванних</w:t>
            </w:r>
            <w:proofErr w:type="spellEnd"/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систем, 59058Миючий / очищуючий розчин ІВД, для автоматизованих / </w:t>
            </w:r>
            <w:proofErr w:type="spellStart"/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полуавтоматізіванних</w:t>
            </w:r>
            <w:proofErr w:type="spellEnd"/>
            <w:r w:rsidRPr="00440CB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систем) вироби медичного призначення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fldChar w:fldCharType="end"/>
            </w: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-2021-02-09-007759-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a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50060,00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0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Фармацевтична продукція (Лікарські засоби різні)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Ацекор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Кардіо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Acetylsalicylic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acid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Амлодипин-КВ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Амлодипін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Amlodipine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Алотендин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Амлодипін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Bisoprolol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amlodipine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Беталок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Метопролол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Metoprolol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Гідрохлортіазід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Гідрохлортіазід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Hydrochlorothiazide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Дігоксин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Дигоксин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Digoxin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Ко-Ренитек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діуретік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diuretics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Кордарон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Аміодарон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Amiodarone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Магникор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Ацетілсаліцилова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кислота/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Acetylsalicylic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acid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Omeprazole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/о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meprazole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Спіронолактон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Спіронолактон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Spironolactone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Энап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Энап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HL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діуретик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diuretics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), Еуфілін (Теофілін/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Theophylline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Фуросемід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Фуросемід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Furosemide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potassium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-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sparing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agents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-2021-02-12-001659-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b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1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Основні органічні хімічні речовини (контрольний матеріал для гематологічних досліджень на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SFRI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18, калібратори гемоглобіну та альбуміну, контрольний матеріал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Біоконт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С))(30531 - Гематологічний контроль/калібратори, 47869 - Множинні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аналіти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клінічної хімії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контрольний матеріал, 56227 - Загальний гемоглобін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калібратори,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lastRenderedPageBreak/>
                <w:t xml:space="preserve">55874 - Загальний гемоглобін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контрольний матеріал, 45803 - Альбумін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, калібратори) вироби медичного призначення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-2021-03-03-005118-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2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Лікарські засоби різні (58237 - Буферний розчинник зразків ІВД, автоматичні/напівавтоматичні системи, 61165 - Реагент для лізису клітин крові ІВД, 59058 - Миючий/очищуючий розчин ІВД, для автоматизованих/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полуавтоматізіванних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систем, 58236 - Буферний промивання та розчин ІВД, автоматичні/напівавтоматичні системи, (52684 - Група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O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Rh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негативних еритроцити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антигени, 52527 - Група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O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Rh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позитивні еритроцити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антигени, 52524 – Група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1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Rh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позитивні еритроцити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антигени, 46607 - Позитивна група В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Rh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еритроцити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антиген), 52532 -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Анти-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групове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типування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еритроцитів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антитіла, 52538 -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Анти-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B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групове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типування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еритроцитів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антитіла, 52647 -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Анти-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Rh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групове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типування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еритроцитів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антитіла, 52924 -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Аланінамінотрансфераза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ALT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набір, спектрофотометричний аналіз, 38499 - Комплект для визначення активності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аспартат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амінотрансферази, 53301 - Глюкоза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набір, ферментний спектрофотометричний аналіз, 61900 - Загальний білок ІВД, набір, спектрофотометричний аналіз, 63410 - Загальний 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кон'югований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(прямий) білірубін ІВД, комплект, спектрофотометрія, 55983 -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Протромбіновий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час (ПВ)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набір, аналіз утворення згустку, 53251 -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Креатинін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набір, спектрофотометричний аналіз, 55872 - Загальний гемоглобін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, набір, спектрофотометричний аналіз, 63243 -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-реактивний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білок (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CRP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 ІВД, набір, аглютинація, експрес-аналіз, 55112 -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Ревматоїдний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фактор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, набір, реакція аглютинації) вироби медичного призначення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-2021-03-03-007805-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3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Фармацевтична продукція (кардіологічні лікарські засоби)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Семлопін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lastRenderedPageBreak/>
                <w:t>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Амлодипін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Amlodipine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Bisoprolol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Ко-Ренітек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діуретік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diuretics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Аміокардин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Аміодарон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Amiodarone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Аритміл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Аміодарон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Amiodarone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Ізо-мік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Ізосорбитдінітрат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Isosorbide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dinitrate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Таллітон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Карведілол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Carvedilol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Таллітон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Карведілол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Carvedilol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Спіронолактон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Спіронолактон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Spironolactone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Энап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Энап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HL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Єналаприл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діуретик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Enalapril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diuretics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Клексан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Єноксапарин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Enoxaparin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-2021-03-24-003041-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Двічі відмінено процедуру </w:t>
            </w:r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4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Системи реєстрації медичної інформації та дослідне обладнання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Імунотест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для кількісного визначення сердечного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тропоніну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Т) (54007 -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Тропонін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IVD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, реагент) вироби медичного призначення</w:t>
              </w:r>
            </w:hyperlink>
          </w:p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UA-2021-04-16-004231-b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5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Фармацевтична продукція (кардіологічні лікарські засоби)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Ацекор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Кардіо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Acetylsalicylic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acid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Алотендин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Амлодипін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Bisoprolol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amlodipine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), Нітрогліцерин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Ізосорбіт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дінітрат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isosorbide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Dinitrate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Беталок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Метопролол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Metoprolol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Варфарин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Варфарин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/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Warfarin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Гідрохлортіазід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Гідрохлортіазід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Hydrochlorothiazide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Дігоксин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Дигоксин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Digoxin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Дофамін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Допамін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Dopamin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е),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Дексаметазон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Дексаметазон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Dexamethasone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Ізо-мік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Ізосорбіт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дінітрат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isosorbide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Dinitrate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Лориста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Лозартан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Losartan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Лориста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Н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Лозартан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діуретик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Losartan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diuretics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Лідокаїн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Лідокаін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Lidocaine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Магникор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Ацетілсаліцилова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кислота/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Acetylsalicylic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acid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Omeprazole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Омепразол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/о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meprazole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), Еуфілін (Теофілін/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Theophylline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Фуросемід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Фуросемід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Furosemide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and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potassium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-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sparing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agents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-2021-05-12-001875-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6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Фармацевтична продукція (кардіологічні лікарські засоби)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Бісопролол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Bisoprolol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Актилізе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Альтеплазе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Alteplase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Таллітон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lastRenderedPageBreak/>
                <w:t>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Карведілол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Carvedilol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Атерокард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клопідогрел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Clopidogrel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Аспірин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Кардіо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Ацетілсаліцилова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кислота/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Acetylsalicylic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acid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-2021-06-17-003332-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Двічі відмінено процедуру відкритих торгів (п. 1, ч. </w:t>
            </w:r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151060,00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7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Фармацевтична продукція (кардіологічні лікарські засоби)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Атерокард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клопідогрел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clopidogrel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),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Дексаметазон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 xml:space="preserve">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Дексаметазон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Dexamethasone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-2021-08-13-001152-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a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Лікарська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практика та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супутні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послуги (Послуги з проведення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коронароангіографії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та стентування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судин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серця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у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хворих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на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гострий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коронарний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синдром)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UA-2021-10-13-008018-b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1000000,00</w:t>
            </w:r>
          </w:p>
        </w:tc>
      </w:tr>
      <w:tr w:rsidR="00344D02" w:rsidRPr="00440CB6" w:rsidTr="00440CB6">
        <w:tc>
          <w:tcPr>
            <w:tcW w:w="4376" w:type="dxa"/>
          </w:tcPr>
          <w:p w:rsidR="00344D02" w:rsidRPr="00440CB6" w:rsidRDefault="00344D02" w:rsidP="00440CB6">
            <w:pPr>
              <w:shd w:val="clear" w:color="auto" w:fill="F3F3F3"/>
              <w:ind w:right="-63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hyperlink r:id="rId19" w:history="1"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Фармацевтична продукція (кардіологічні лікарські засоби) Адреналін-Здоров’я (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Epinephrine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/</w:t>
              </w:r>
              <w:proofErr w:type="spellStart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епінефрін</w:t>
              </w:r>
              <w:proofErr w:type="spellEnd"/>
              <w:r w:rsidRPr="00440CB6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val="uk-UA" w:eastAsia="ru-RU"/>
                </w:rPr>
                <w:t>)</w:t>
              </w:r>
            </w:hyperlink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UA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  <w:lang w:val="uk-UA"/>
              </w:rPr>
              <w:t>-2021-11-09-001642-</w:t>
            </w:r>
            <w:r w:rsidRPr="00440CB6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c</w:t>
            </w:r>
          </w:p>
        </w:tc>
        <w:tc>
          <w:tcPr>
            <w:tcW w:w="1530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Переговорна процедура</w:t>
            </w:r>
          </w:p>
        </w:tc>
        <w:tc>
          <w:tcPr>
            <w:tcW w:w="1888" w:type="dxa"/>
          </w:tcPr>
          <w:p w:rsidR="00344D02" w:rsidRDefault="00344D02">
            <w:r w:rsidRPr="007E12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Двічі відмінено процедуру відкритих торгів (п. 1, ч. 2, ст.. 40 Закону України «про публічні закупівлі»)</w:t>
            </w:r>
          </w:p>
        </w:tc>
        <w:tc>
          <w:tcPr>
            <w:tcW w:w="1777" w:type="dxa"/>
          </w:tcPr>
          <w:p w:rsidR="00344D02" w:rsidRPr="00440CB6" w:rsidRDefault="00344D02" w:rsidP="00440CB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0C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</w:tr>
      <w:bookmarkEnd w:id="0"/>
    </w:tbl>
    <w:p w:rsidR="00440CB6" w:rsidRPr="00440CB6" w:rsidRDefault="00440CB6">
      <w:pPr>
        <w:rPr>
          <w:lang w:val="uk-UA"/>
        </w:rPr>
      </w:pPr>
    </w:p>
    <w:sectPr w:rsidR="00440CB6" w:rsidRPr="0044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85"/>
    <w:rsid w:val="00344D02"/>
    <w:rsid w:val="00440CB6"/>
    <w:rsid w:val="00940285"/>
    <w:rsid w:val="00A7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40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0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40C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0C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40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40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9041265" TargetMode="External"/><Relationship Id="rId13" Type="http://schemas.openxmlformats.org/officeDocument/2006/relationships/hyperlink" Target="https://www.dzo.com.ua/tenders/10076922" TargetMode="External"/><Relationship Id="rId18" Type="http://schemas.openxmlformats.org/officeDocument/2006/relationships/hyperlink" Target="https://www.dzo.com.ua/tenders/129588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zo.com.ua/tenders/8976792" TargetMode="External"/><Relationship Id="rId12" Type="http://schemas.openxmlformats.org/officeDocument/2006/relationships/hyperlink" Target="https://www.dzo.com.ua/tenders/9748295" TargetMode="External"/><Relationship Id="rId17" Type="http://schemas.openxmlformats.org/officeDocument/2006/relationships/hyperlink" Target="https://www.dzo.com.ua/tenders/1204128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zo.com.ua/tenders/1130791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zo.com.ua/tenders/8976270" TargetMode="External"/><Relationship Id="rId11" Type="http://schemas.openxmlformats.org/officeDocument/2006/relationships/hyperlink" Target="https://www.dzo.com.ua/tenders/9743691" TargetMode="External"/><Relationship Id="rId5" Type="http://schemas.openxmlformats.org/officeDocument/2006/relationships/hyperlink" Target="https://www.dzo.com.ua/tenders/8964568" TargetMode="External"/><Relationship Id="rId15" Type="http://schemas.openxmlformats.org/officeDocument/2006/relationships/hyperlink" Target="https://www.dzo.com.ua/tenders/10728329" TargetMode="External"/><Relationship Id="rId10" Type="http://schemas.openxmlformats.org/officeDocument/2006/relationships/hyperlink" Target="https://www.dzo.com.ua/tenders/9433115" TargetMode="External"/><Relationship Id="rId19" Type="http://schemas.openxmlformats.org/officeDocument/2006/relationships/hyperlink" Target="https://www.dzo.com.ua/tenders/13376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zo.com.ua/tenders/9354253" TargetMode="External"/><Relationship Id="rId14" Type="http://schemas.openxmlformats.org/officeDocument/2006/relationships/hyperlink" Target="https://www.dzo.com.ua/tenders/104315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2021-12-21T08:32:00Z</dcterms:created>
  <dcterms:modified xsi:type="dcterms:W3CDTF">2021-12-21T09:25:00Z</dcterms:modified>
</cp:coreProperties>
</file>